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pPr>
        <w:spacing w:before="100" w:beforeAutospacing="1" w:after="100" w:afterAutospacing="1" w:line="240" w:lineRule="auto"/>
        <w:outlineLvl w:val="1"/>
        <w:rPr>
          <w:rFonts w:ascii="Arial" w:eastAsia="Times New Roman" w:hAnsi="Arial" w:cs="Arial"/>
          <w:b/>
          <w:bCs/>
          <w:sz w:val="24"/>
          <w:szCs w:val="24"/>
        </w:rPr>
      </w:pPr>
      <w:bookmarkStart w:id="0" w:name="_Hlk96423421"/>
      <w:r>
        <w:rPr>
          <w:rFonts w:ascii="Arial" w:eastAsia="Times New Roman" w:hAnsi="Arial" w:cs="Arial"/>
          <w:b/>
          <w:bCs/>
          <w:sz w:val="24"/>
          <w:szCs w:val="24"/>
        </w:rPr>
        <w:t>Fonds zur Förderung von Kinder-, Jugend- und Puppentheatern und Akteur*innen im Bereich Performing Arts für ein junges Publikum (KiA-Programm)</w:t>
      </w:r>
    </w:p>
    <w:p>
      <w:pPr>
        <w:pStyle w:val="KeinLeerraum"/>
        <w:rPr>
          <w:rFonts w:ascii="Arial" w:hAnsi="Arial" w:cs="Arial"/>
          <w:sz w:val="24"/>
          <w:szCs w:val="24"/>
        </w:rPr>
      </w:pPr>
      <w:bookmarkStart w:id="1" w:name="_Hlk96423718"/>
      <w:bookmarkEnd w:id="0"/>
      <w:r>
        <w:rPr>
          <w:rFonts w:ascii="Arial" w:hAnsi="Arial" w:cs="Arial"/>
          <w:sz w:val="24"/>
          <w:szCs w:val="24"/>
        </w:rPr>
        <w:t xml:space="preserve">Für 2022 stehen dem Bezirk </w:t>
      </w:r>
      <w:r>
        <w:rPr>
          <w:rFonts w:ascii="Arial" w:hAnsi="Arial" w:cs="Arial"/>
          <w:b/>
          <w:bCs/>
          <w:sz w:val="24"/>
          <w:szCs w:val="24"/>
        </w:rPr>
        <w:t>Marzahn-Hellersdorf</w:t>
      </w:r>
      <w:r>
        <w:rPr>
          <w:rFonts w:ascii="Arial" w:hAnsi="Arial" w:cs="Arial"/>
          <w:sz w:val="24"/>
          <w:szCs w:val="24"/>
        </w:rPr>
        <w:t xml:space="preserve">, unter Vorbehalt der Beschlussfassung über den Haushaltsplan des Landes Berlin, insgesamt </w:t>
      </w:r>
      <w:r>
        <w:rPr>
          <w:rFonts w:ascii="Arial" w:hAnsi="Arial" w:cs="Arial"/>
          <w:b/>
          <w:bCs/>
          <w:sz w:val="24"/>
          <w:szCs w:val="24"/>
        </w:rPr>
        <w:t>92.359,88€</w:t>
      </w:r>
      <w:r>
        <w:rPr>
          <w:rFonts w:ascii="Arial" w:hAnsi="Arial" w:cs="Arial"/>
          <w:sz w:val="24"/>
          <w:szCs w:val="24"/>
        </w:rPr>
        <w:t xml:space="preserve"> zur Verfügung. Ausgeschrieben werden die Mittel für </w:t>
      </w:r>
      <w:r>
        <w:rPr>
          <w:rFonts w:ascii="Arial" w:hAnsi="Arial" w:cs="Arial"/>
          <w:b/>
          <w:bCs/>
          <w:sz w:val="24"/>
          <w:szCs w:val="24"/>
        </w:rPr>
        <w:t>Aufführungsprämien</w:t>
      </w:r>
      <w:r>
        <w:rPr>
          <w:rFonts w:ascii="Arial" w:hAnsi="Arial" w:cs="Arial"/>
          <w:sz w:val="24"/>
          <w:szCs w:val="24"/>
        </w:rPr>
        <w:t xml:space="preserve"> und </w:t>
      </w:r>
      <w:r>
        <w:rPr>
          <w:rFonts w:ascii="Arial" w:hAnsi="Arial" w:cs="Arial"/>
          <w:b/>
          <w:bCs/>
          <w:sz w:val="24"/>
          <w:szCs w:val="24"/>
        </w:rPr>
        <w:t>Förderung von Spielstätten</w:t>
      </w:r>
      <w:r>
        <w:rPr>
          <w:rFonts w:ascii="Arial" w:hAnsi="Arial" w:cs="Arial"/>
          <w:sz w:val="24"/>
          <w:szCs w:val="24"/>
        </w:rPr>
        <w:t xml:space="preserve">, jeweils in Höhe von </w:t>
      </w:r>
      <w:r>
        <w:rPr>
          <w:rFonts w:ascii="Arial" w:hAnsi="Arial" w:cs="Arial"/>
          <w:b/>
          <w:bCs/>
          <w:sz w:val="24"/>
          <w:szCs w:val="24"/>
        </w:rPr>
        <w:t>32.325,96€.</w:t>
      </w:r>
    </w:p>
    <w:p>
      <w:pPr>
        <w:pStyle w:val="KeinLeerraum"/>
        <w:rPr>
          <w:rFonts w:ascii="Arial" w:hAnsi="Arial" w:cs="Arial"/>
          <w:sz w:val="24"/>
          <w:szCs w:val="24"/>
        </w:rPr>
      </w:pPr>
    </w:p>
    <w:p>
      <w:pPr>
        <w:pStyle w:val="KeinLeerraum"/>
        <w:rPr>
          <w:rFonts w:ascii="Arial" w:hAnsi="Arial" w:cs="Arial"/>
          <w:sz w:val="24"/>
          <w:szCs w:val="24"/>
        </w:rPr>
      </w:pPr>
      <w:r>
        <w:rPr>
          <w:rFonts w:ascii="Arial" w:hAnsi="Arial" w:cs="Arial"/>
          <w:sz w:val="24"/>
          <w:szCs w:val="24"/>
        </w:rPr>
        <w:t>Eine Jury wird gemeinsam, gemäß den in der Leitlinie ausgeführten Förderkriterien, die eingereichten Anträge bewerten und eine Förderempfehlung aussprechen.</w:t>
      </w:r>
    </w:p>
    <w:bookmarkEnd w:id="1"/>
    <w:p>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 xml:space="preserve">Das KiA-Programm fördert die Etablierung und Durchführung von Theaterangeboten im Bereich der Performing Arts (= Akteur*innen aus den Bereichen Performance, Tanz, Objekt- und Figurentheater, Musiktheater) für Kinder- und Jugendliche in den zwölf Bezirken Berlins. Die Fördermittel werden dafür eingesetzt, die Versorgung mit Theaterangeboten in bislang nicht oder unterversorgten Stadträumen zu entwickeln und um bestehende dezentrale Strukturen im gesamten Stadtgebiet in ihrer Spielfähigkeit zu erhalten und zu stärken.  </w:t>
      </w:r>
    </w:p>
    <w:p>
      <w:pPr>
        <w:spacing w:before="100" w:beforeAutospacing="1" w:after="100" w:afterAutospacing="1" w:line="240" w:lineRule="auto"/>
        <w:outlineLvl w:val="2"/>
        <w:rPr>
          <w:rFonts w:ascii="Arial" w:eastAsia="Times New Roman" w:hAnsi="Arial" w:cs="Arial"/>
          <w:b/>
          <w:bCs/>
          <w:sz w:val="24"/>
          <w:szCs w:val="24"/>
        </w:rPr>
      </w:pPr>
      <w:r>
        <w:rPr>
          <w:rFonts w:ascii="Arial" w:eastAsia="Times New Roman" w:hAnsi="Arial" w:cs="Arial"/>
          <w:b/>
          <w:bCs/>
          <w:sz w:val="24"/>
          <w:szCs w:val="24"/>
        </w:rPr>
        <w:t xml:space="preserve">Ziel und Gegenstand der Förderung </w:t>
      </w:r>
    </w:p>
    <w:p>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 xml:space="preserve">Ziele sind: </w:t>
      </w:r>
    </w:p>
    <w:p>
      <w:pPr>
        <w:numPr>
          <w:ilvl w:val="0"/>
          <w:numId w:val="5"/>
        </w:num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 xml:space="preserve">die Erschließung und Versorgung von teilbezirklichen Stadträumen mit Theaterangeboten, in denen bisher keine oder nur eine geringe wohnortnahe Versorgung stattfindet, </w:t>
      </w:r>
    </w:p>
    <w:p>
      <w:pPr>
        <w:numPr>
          <w:ilvl w:val="0"/>
          <w:numId w:val="5"/>
        </w:num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 xml:space="preserve">der Erhalt und die Stärkung der bestehenden Standorte der freien Kinder,- Jugend und Puppentheater für den Spielbetrieb, </w:t>
      </w:r>
    </w:p>
    <w:p>
      <w:pPr>
        <w:numPr>
          <w:ilvl w:val="0"/>
          <w:numId w:val="5"/>
        </w:num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 xml:space="preserve">die Stärkung der kulturellen Teilhabe von Kindern und Jugendlichen an Angeboten der darstellenden Künste, </w:t>
      </w:r>
    </w:p>
    <w:p>
      <w:pPr>
        <w:numPr>
          <w:ilvl w:val="0"/>
          <w:numId w:val="5"/>
        </w:num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 xml:space="preserve">Die Stärkung der Arbeits- und Lebensgrundlage von Künstlerinnen und Künstlern der darstellenden Künste. </w:t>
      </w:r>
    </w:p>
    <w:p>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 xml:space="preserve">Gegenstand der Finanzierung: </w:t>
      </w:r>
    </w:p>
    <w:p>
      <w:pPr>
        <w:spacing w:before="100" w:beforeAutospacing="1" w:after="100" w:afterAutospacing="1" w:line="240" w:lineRule="auto"/>
        <w:outlineLvl w:val="2"/>
        <w:rPr>
          <w:rFonts w:ascii="Arial" w:eastAsia="Times New Roman" w:hAnsi="Arial" w:cs="Arial"/>
          <w:b/>
          <w:bCs/>
          <w:sz w:val="24"/>
          <w:szCs w:val="24"/>
        </w:rPr>
      </w:pPr>
      <w:r>
        <w:rPr>
          <w:rFonts w:ascii="Arial" w:eastAsia="Times New Roman" w:hAnsi="Arial" w:cs="Arial"/>
          <w:b/>
          <w:bCs/>
          <w:sz w:val="24"/>
          <w:szCs w:val="24"/>
        </w:rPr>
        <w:t xml:space="preserve">1. Aufführungsprämien für Einzelveranstaltungen und Veranstaltungsreihen </w:t>
      </w:r>
    </w:p>
    <w:p>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Dazu gehören Theaterangebote für Kinder und Jugendliche, die von Einzelkünstler*innen oder mobilen freien Gruppen in Form von Einzelveranstaltungen/Veranstaltungsreihen in den entsprechenden Stadträumen organisiert und aufgeführt werden. Berücksichtigt werden die Erschließung und Versorgung von teilbezirklichen Stadträumen mit Theaterangeboten, in denen bisher keine oder nur eine geringe wohnortnahe Versorgung stattfindet.</w:t>
      </w:r>
    </w:p>
    <w:p>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Antragstellende sollten mindestens eine der folgenden Kriterien erfüllen und nachweisen:</w:t>
      </w:r>
    </w:p>
    <w:p>
      <w:pPr>
        <w:pStyle w:val="Listenabsatz"/>
        <w:numPr>
          <w:ilvl w:val="0"/>
          <w:numId w:val="7"/>
        </w:numPr>
        <w:spacing w:before="100" w:beforeAutospacing="1" w:after="100" w:afterAutospacing="1" w:line="240" w:lineRule="auto"/>
        <w:rPr>
          <w:rFonts w:ascii="Arial" w:eastAsia="Times New Roman" w:hAnsi="Arial" w:cs="Arial"/>
          <w:sz w:val="24"/>
          <w:szCs w:val="24"/>
        </w:rPr>
      </w:pPr>
      <w:r>
        <w:rPr>
          <w:rFonts w:ascii="Arial" w:hAnsi="Arial" w:cs="Arial"/>
          <w:sz w:val="24"/>
          <w:szCs w:val="24"/>
        </w:rPr>
        <w:t>gefördert durch den Jugendkulturservice</w:t>
      </w:r>
    </w:p>
    <w:p>
      <w:pPr>
        <w:pStyle w:val="Listenabsatz"/>
        <w:numPr>
          <w:ilvl w:val="0"/>
          <w:numId w:val="7"/>
        </w:numPr>
        <w:spacing w:before="100" w:beforeAutospacing="1" w:after="100" w:afterAutospacing="1" w:line="240" w:lineRule="auto"/>
        <w:rPr>
          <w:rFonts w:ascii="Arial" w:eastAsia="Times New Roman" w:hAnsi="Arial" w:cs="Arial"/>
          <w:sz w:val="24"/>
          <w:szCs w:val="24"/>
        </w:rPr>
      </w:pPr>
      <w:r>
        <w:rPr>
          <w:rFonts w:ascii="Arial" w:hAnsi="Arial" w:cs="Arial"/>
          <w:sz w:val="24"/>
          <w:szCs w:val="24"/>
        </w:rPr>
        <w:t xml:space="preserve">KSK – Zugehörigkeit </w:t>
      </w:r>
    </w:p>
    <w:p>
      <w:pPr>
        <w:pStyle w:val="Listenabsatz"/>
        <w:numPr>
          <w:ilvl w:val="0"/>
          <w:numId w:val="7"/>
        </w:numPr>
        <w:spacing w:before="100" w:beforeAutospacing="1" w:after="100" w:afterAutospacing="1" w:line="240" w:lineRule="auto"/>
        <w:rPr>
          <w:rFonts w:ascii="Arial" w:eastAsia="Times New Roman" w:hAnsi="Arial" w:cs="Arial"/>
          <w:sz w:val="24"/>
          <w:szCs w:val="24"/>
        </w:rPr>
      </w:pPr>
      <w:r>
        <w:rPr>
          <w:rFonts w:ascii="Arial" w:hAnsi="Arial" w:cs="Arial"/>
          <w:sz w:val="24"/>
          <w:szCs w:val="24"/>
        </w:rPr>
        <w:t>bereits geförderte Theaterproduktionen</w:t>
      </w:r>
    </w:p>
    <w:p>
      <w:pPr>
        <w:spacing w:after="0" w:line="240" w:lineRule="auto"/>
        <w:rPr>
          <w:rFonts w:ascii="Arial" w:eastAsia="Times New Roman" w:hAnsi="Arial" w:cs="Arial"/>
          <w:sz w:val="24"/>
          <w:szCs w:val="24"/>
        </w:rPr>
      </w:pPr>
      <w:r>
        <w:rPr>
          <w:rFonts w:ascii="Arial" w:eastAsia="Times New Roman" w:hAnsi="Arial" w:cs="Arial"/>
          <w:sz w:val="24"/>
          <w:szCs w:val="24"/>
        </w:rPr>
        <w:lastRenderedPageBreak/>
        <w:t xml:space="preserve">Die Höhe der Aufführungsprämie kann </w:t>
      </w:r>
    </w:p>
    <w:p>
      <w:pPr>
        <w:numPr>
          <w:ilvl w:val="0"/>
          <w:numId w:val="6"/>
        </w:num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 xml:space="preserve">400 € für eine von einer Einzelperson organisierte und aufgeführte Veranstaltung betragen. </w:t>
      </w:r>
    </w:p>
    <w:p>
      <w:pPr>
        <w:numPr>
          <w:ilvl w:val="0"/>
          <w:numId w:val="6"/>
        </w:num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 xml:space="preserve">für jede weitere insbesondere künstlerisch tätige Person erhöht sich die Prämie um 250,-€ pro Veranstaltung. </w:t>
      </w:r>
    </w:p>
    <w:p>
      <w:pPr>
        <w:numPr>
          <w:ilvl w:val="0"/>
          <w:numId w:val="6"/>
        </w:num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 xml:space="preserve">die max. zu beantragende Summe je Einzelveranstaltung beträgt 1.400 €. </w:t>
      </w:r>
    </w:p>
    <w:p>
      <w:pPr>
        <w:numPr>
          <w:ilvl w:val="0"/>
          <w:numId w:val="6"/>
        </w:num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 xml:space="preserve">Richtwert der Dauer einer Vorstellung sind mind. 45min pro Vorstellung. </w:t>
      </w:r>
    </w:p>
    <w:p>
      <w:pPr>
        <w:spacing w:before="100" w:beforeAutospacing="1" w:after="100" w:afterAutospacing="1" w:line="240" w:lineRule="auto"/>
        <w:rPr>
          <w:rFonts w:ascii="Arial" w:eastAsia="Times New Roman" w:hAnsi="Arial" w:cs="Arial"/>
          <w:b/>
          <w:bCs/>
          <w:sz w:val="24"/>
          <w:szCs w:val="24"/>
        </w:rPr>
      </w:pPr>
      <w:r>
        <w:rPr>
          <w:rFonts w:ascii="Arial" w:eastAsia="Times New Roman" w:hAnsi="Arial" w:cs="Arial"/>
          <w:sz w:val="24"/>
          <w:szCs w:val="24"/>
        </w:rPr>
        <w:t>Mit der Beantragung der Aufführungsprämie muss eine formlose Spielstätten-bescheinigung eingereicht werden.</w:t>
      </w:r>
    </w:p>
    <w:p>
      <w:pPr>
        <w:spacing w:before="100" w:beforeAutospacing="1" w:after="100" w:afterAutospacing="1" w:line="240" w:lineRule="auto"/>
        <w:rPr>
          <w:rFonts w:ascii="Arial" w:eastAsia="Times New Roman" w:hAnsi="Arial" w:cs="Arial"/>
          <w:b/>
          <w:bCs/>
          <w:sz w:val="24"/>
          <w:szCs w:val="24"/>
        </w:rPr>
      </w:pPr>
      <w:r>
        <w:rPr>
          <w:rFonts w:ascii="Arial" w:eastAsia="Times New Roman" w:hAnsi="Arial" w:cs="Arial"/>
          <w:b/>
          <w:bCs/>
          <w:sz w:val="24"/>
          <w:szCs w:val="24"/>
        </w:rPr>
        <w:t>Zu beachten sind für die Aufführungsprämien die für den Bezirk Marzahn-Hellersdorf benannten Prognoseräume Biesdorf, Hellersdorf und Kaulsdorf/Mahlsdorf.</w:t>
      </w:r>
    </w:p>
    <w:p>
      <w:pPr>
        <w:spacing w:before="100" w:beforeAutospacing="1" w:after="100" w:afterAutospacing="1" w:line="240" w:lineRule="auto"/>
        <w:outlineLvl w:val="2"/>
        <w:rPr>
          <w:rFonts w:ascii="Arial" w:eastAsia="Times New Roman" w:hAnsi="Arial" w:cs="Arial"/>
          <w:b/>
          <w:bCs/>
          <w:sz w:val="24"/>
          <w:szCs w:val="24"/>
        </w:rPr>
      </w:pPr>
      <w:r>
        <w:rPr>
          <w:rFonts w:ascii="Arial" w:eastAsia="Times New Roman" w:hAnsi="Arial" w:cs="Arial"/>
          <w:b/>
          <w:bCs/>
          <w:sz w:val="24"/>
          <w:szCs w:val="24"/>
        </w:rPr>
        <w:t xml:space="preserve">2. Förderung von Spielstätten </w:t>
      </w:r>
    </w:p>
    <w:p>
      <w:pPr>
        <w:spacing w:before="100" w:beforeAutospacing="1" w:after="100" w:afterAutospacing="1" w:line="240" w:lineRule="auto"/>
        <w:outlineLvl w:val="2"/>
        <w:rPr>
          <w:rFonts w:ascii="Arial" w:eastAsia="Times New Roman" w:hAnsi="Arial" w:cs="Arial"/>
          <w:b/>
          <w:bCs/>
          <w:sz w:val="24"/>
          <w:szCs w:val="24"/>
        </w:rPr>
      </w:pPr>
      <w:r>
        <w:rPr>
          <w:rFonts w:ascii="Arial" w:eastAsia="Times New Roman" w:hAnsi="Arial" w:cs="Arial"/>
          <w:sz w:val="24"/>
          <w:szCs w:val="24"/>
        </w:rPr>
        <w:t xml:space="preserve">Projekte von Akteur*innen der Performing Arts für ein junges Publikum mit fester Spielstätte sowie im Einzelfall Projekte von größeren Gruppen sind förderfähig, insofern sie zu mindestens zweien der oben benannten Förderziele beitragen. </w:t>
      </w:r>
    </w:p>
    <w:p>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 xml:space="preserve">Hier sind Personal- und Sachausgaben, einschließlich Honorarausgaben und Ausgaben für Dienstleistungen sowie Miet- und Infrastrukturkosten förderfähig. </w:t>
      </w:r>
    </w:p>
    <w:p>
      <w:pPr>
        <w:spacing w:before="100" w:beforeAutospacing="1" w:after="100" w:afterAutospacing="1" w:line="240" w:lineRule="auto"/>
        <w:rPr>
          <w:rFonts w:ascii="Arial" w:eastAsia="Times New Roman" w:hAnsi="Arial" w:cs="Arial"/>
          <w:b/>
          <w:bCs/>
          <w:sz w:val="24"/>
          <w:szCs w:val="24"/>
        </w:rPr>
      </w:pPr>
    </w:p>
    <w:p>
      <w:pPr>
        <w:spacing w:before="100" w:beforeAutospacing="1" w:after="100" w:afterAutospacing="1" w:line="240" w:lineRule="auto"/>
        <w:rPr>
          <w:rFonts w:ascii="Arial" w:eastAsia="Times New Roman" w:hAnsi="Arial" w:cs="Arial"/>
          <w:sz w:val="24"/>
          <w:szCs w:val="24"/>
        </w:rPr>
      </w:pPr>
    </w:p>
    <w:p>
      <w:pPr>
        <w:spacing w:before="100" w:beforeAutospacing="1" w:after="100" w:afterAutospacing="1" w:line="240" w:lineRule="auto"/>
        <w:rPr>
          <w:rFonts w:ascii="Arial" w:eastAsia="Times New Roman" w:hAnsi="Arial" w:cs="Arial"/>
          <w:sz w:val="24"/>
          <w:szCs w:val="24"/>
        </w:rPr>
      </w:pPr>
    </w:p>
    <w:sectPr>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325195"/>
    <w:multiLevelType w:val="multilevel"/>
    <w:tmpl w:val="EF54F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A31308"/>
    <w:multiLevelType w:val="hybridMultilevel"/>
    <w:tmpl w:val="9CB8C60E"/>
    <w:lvl w:ilvl="0" w:tplc="B1548CCA">
      <w:start w:val="1"/>
      <w:numFmt w:val="bullet"/>
      <w:lvlText w:val="-"/>
      <w:lvlJc w:val="left"/>
      <w:pPr>
        <w:ind w:left="720" w:hanging="360"/>
      </w:pPr>
      <w:rPr>
        <w:rFonts w:ascii="Calibri" w:eastAsia="Calibri" w:hAnsi="Calibri" w:cs="Calibri" w:hint="default"/>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F6A0095"/>
    <w:multiLevelType w:val="hybridMultilevel"/>
    <w:tmpl w:val="98625980"/>
    <w:lvl w:ilvl="0" w:tplc="4E243A72">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27F63A4"/>
    <w:multiLevelType w:val="multilevel"/>
    <w:tmpl w:val="BB1A7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9F63390"/>
    <w:multiLevelType w:val="multilevel"/>
    <w:tmpl w:val="B7AA6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BF6628C"/>
    <w:multiLevelType w:val="hybridMultilevel"/>
    <w:tmpl w:val="CFE63CC6"/>
    <w:lvl w:ilvl="0" w:tplc="CD9EC17E">
      <w:start w:val="1"/>
      <w:numFmt w:val="lowerLetter"/>
      <w:lvlText w:val="%1."/>
      <w:lvlJc w:val="left"/>
      <w:pPr>
        <w:ind w:left="11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94CB59E">
      <w:start w:val="1"/>
      <w:numFmt w:val="lowerLetter"/>
      <w:lvlText w:val="%2"/>
      <w:lvlJc w:val="left"/>
      <w:pPr>
        <w:ind w:left="18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EF4B7F6">
      <w:start w:val="1"/>
      <w:numFmt w:val="lowerRoman"/>
      <w:lvlText w:val="%3"/>
      <w:lvlJc w:val="left"/>
      <w:pPr>
        <w:ind w:left="25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6747C88">
      <w:start w:val="1"/>
      <w:numFmt w:val="decimal"/>
      <w:lvlText w:val="%4"/>
      <w:lvlJc w:val="left"/>
      <w:pPr>
        <w:ind w:left="32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1180EA2">
      <w:start w:val="1"/>
      <w:numFmt w:val="lowerLetter"/>
      <w:lvlText w:val="%5"/>
      <w:lvlJc w:val="left"/>
      <w:pPr>
        <w:ind w:left="39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81CF276">
      <w:start w:val="1"/>
      <w:numFmt w:val="lowerRoman"/>
      <w:lvlText w:val="%6"/>
      <w:lvlJc w:val="left"/>
      <w:pPr>
        <w:ind w:left="47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D6EB960">
      <w:start w:val="1"/>
      <w:numFmt w:val="decimal"/>
      <w:lvlText w:val="%7"/>
      <w:lvlJc w:val="left"/>
      <w:pPr>
        <w:ind w:left="54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F607EDC">
      <w:start w:val="1"/>
      <w:numFmt w:val="lowerLetter"/>
      <w:lvlText w:val="%8"/>
      <w:lvlJc w:val="left"/>
      <w:pPr>
        <w:ind w:left="61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B9413BE">
      <w:start w:val="1"/>
      <w:numFmt w:val="lowerRoman"/>
      <w:lvlText w:val="%9"/>
      <w:lvlJc w:val="left"/>
      <w:pPr>
        <w:ind w:left="68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7CBB7021"/>
    <w:multiLevelType w:val="hybridMultilevel"/>
    <w:tmpl w:val="BF849DD4"/>
    <w:lvl w:ilvl="0" w:tplc="04070001">
      <w:start w:val="1"/>
      <w:numFmt w:val="bullet"/>
      <w:lvlText w:val=""/>
      <w:lvlJc w:val="left"/>
      <w:pPr>
        <w:ind w:left="113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794CB59E">
      <w:start w:val="1"/>
      <w:numFmt w:val="lowerLetter"/>
      <w:lvlText w:val="%2"/>
      <w:lvlJc w:val="left"/>
      <w:pPr>
        <w:ind w:left="18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EF4B7F6">
      <w:start w:val="1"/>
      <w:numFmt w:val="lowerRoman"/>
      <w:lvlText w:val="%3"/>
      <w:lvlJc w:val="left"/>
      <w:pPr>
        <w:ind w:left="25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6747C88">
      <w:start w:val="1"/>
      <w:numFmt w:val="decimal"/>
      <w:lvlText w:val="%4"/>
      <w:lvlJc w:val="left"/>
      <w:pPr>
        <w:ind w:left="32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1180EA2">
      <w:start w:val="1"/>
      <w:numFmt w:val="lowerLetter"/>
      <w:lvlText w:val="%5"/>
      <w:lvlJc w:val="left"/>
      <w:pPr>
        <w:ind w:left="39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81CF276">
      <w:start w:val="1"/>
      <w:numFmt w:val="lowerRoman"/>
      <w:lvlText w:val="%6"/>
      <w:lvlJc w:val="left"/>
      <w:pPr>
        <w:ind w:left="47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D6EB960">
      <w:start w:val="1"/>
      <w:numFmt w:val="decimal"/>
      <w:lvlText w:val="%7"/>
      <w:lvlJc w:val="left"/>
      <w:pPr>
        <w:ind w:left="54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F607EDC">
      <w:start w:val="1"/>
      <w:numFmt w:val="lowerLetter"/>
      <w:lvlText w:val="%8"/>
      <w:lvlJc w:val="left"/>
      <w:pPr>
        <w:ind w:left="61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B9413BE">
      <w:start w:val="1"/>
      <w:numFmt w:val="lowerRoman"/>
      <w:lvlText w:val="%9"/>
      <w:lvlJc w:val="left"/>
      <w:pPr>
        <w:ind w:left="68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5"/>
  </w:num>
  <w:num w:numId="2">
    <w:abstractNumId w:val="6"/>
  </w:num>
  <w:num w:numId="3">
    <w:abstractNumId w:val="2"/>
  </w:num>
  <w:num w:numId="4">
    <w:abstractNumId w:val="4"/>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061613-795A-4248-8E81-5A48C65C3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Times New Roman"/>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Calibri" w:hAnsi="Calibri"/>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Pr>
      <w:rFonts w:ascii="Calibri" w:hAnsi="Calibri"/>
      <w:sz w:val="20"/>
      <w:szCs w:val="20"/>
      <w:lang w:eastAsia="de-DE"/>
    </w:rPr>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rPr>
      <w:rFonts w:ascii="Calibri" w:hAnsi="Calibri"/>
      <w:sz w:val="20"/>
      <w:szCs w:val="20"/>
      <w:lang w:eastAsia="de-DE"/>
    </w:rPr>
  </w:style>
  <w:style w:type="paragraph" w:styleId="KeinLeerraum">
    <w:name w:val="No Spacing"/>
    <w:uiPriority w:val="1"/>
    <w:qFormat/>
    <w:pPr>
      <w:spacing w:after="0" w:line="240" w:lineRule="auto"/>
    </w:pPr>
    <w:rPr>
      <w:rFonts w:ascii="Calibri" w:hAnsi="Calibri"/>
      <w:sz w:val="20"/>
      <w:szCs w:val="20"/>
      <w:lang w:eastAsia="de-DE"/>
    </w:rPr>
  </w:style>
  <w:style w:type="paragraph" w:styleId="Listenabsatz">
    <w:name w:val="List Paragraph"/>
    <w:basedOn w:val="Standard"/>
    <w:uiPriority w:val="34"/>
    <w:qFormat/>
    <w:pPr>
      <w:ind w:left="720"/>
      <w:contextualSpacing/>
    </w:pPr>
  </w:style>
  <w:style w:type="character" w:styleId="Fett">
    <w:name w:val="Strong"/>
    <w:basedOn w:val="Absatz-Standardschriftart"/>
    <w:uiPriority w:val="22"/>
    <w:qFormat/>
    <w:rPr>
      <w:b/>
      <w:bCs/>
    </w:rPr>
  </w:style>
  <w:style w:type="paragraph" w:styleId="StandardWeb">
    <w:name w:val="Normal (Web)"/>
    <w:basedOn w:val="Standard"/>
    <w:uiPriority w:val="99"/>
    <w:semiHidden/>
    <w:unhideWhenUsed/>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Absatz-Standardschriftart"/>
    <w:uiPriority w:val="99"/>
    <w:semiHidden/>
    <w:unhideWhenUs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7085478">
      <w:bodyDiv w:val="1"/>
      <w:marLeft w:val="0"/>
      <w:marRight w:val="0"/>
      <w:marTop w:val="0"/>
      <w:marBottom w:val="0"/>
      <w:divBdr>
        <w:top w:val="none" w:sz="0" w:space="0" w:color="auto"/>
        <w:left w:val="none" w:sz="0" w:space="0" w:color="auto"/>
        <w:bottom w:val="none" w:sz="0" w:space="0" w:color="auto"/>
        <w:right w:val="none" w:sz="0" w:space="0" w:color="auto"/>
      </w:divBdr>
    </w:div>
    <w:div w:id="551306319">
      <w:bodyDiv w:val="1"/>
      <w:marLeft w:val="0"/>
      <w:marRight w:val="0"/>
      <w:marTop w:val="0"/>
      <w:marBottom w:val="0"/>
      <w:divBdr>
        <w:top w:val="none" w:sz="0" w:space="0" w:color="auto"/>
        <w:left w:val="none" w:sz="0" w:space="0" w:color="auto"/>
        <w:bottom w:val="none" w:sz="0" w:space="0" w:color="auto"/>
        <w:right w:val="none" w:sz="0" w:space="0" w:color="auto"/>
      </w:divBdr>
      <w:divsChild>
        <w:div w:id="1339699271">
          <w:marLeft w:val="0"/>
          <w:marRight w:val="0"/>
          <w:marTop w:val="0"/>
          <w:marBottom w:val="0"/>
          <w:divBdr>
            <w:top w:val="none" w:sz="0" w:space="0" w:color="auto"/>
            <w:left w:val="none" w:sz="0" w:space="0" w:color="auto"/>
            <w:bottom w:val="none" w:sz="0" w:space="0" w:color="auto"/>
            <w:right w:val="none" w:sz="0" w:space="0" w:color="auto"/>
          </w:divBdr>
          <w:divsChild>
            <w:div w:id="922690494">
              <w:marLeft w:val="0"/>
              <w:marRight w:val="0"/>
              <w:marTop w:val="0"/>
              <w:marBottom w:val="0"/>
              <w:divBdr>
                <w:top w:val="none" w:sz="0" w:space="0" w:color="auto"/>
                <w:left w:val="none" w:sz="0" w:space="0" w:color="auto"/>
                <w:bottom w:val="none" w:sz="0" w:space="0" w:color="auto"/>
                <w:right w:val="none" w:sz="0" w:space="0" w:color="auto"/>
              </w:divBdr>
            </w:div>
            <w:div w:id="380402505">
              <w:marLeft w:val="0"/>
              <w:marRight w:val="0"/>
              <w:marTop w:val="0"/>
              <w:marBottom w:val="0"/>
              <w:divBdr>
                <w:top w:val="none" w:sz="0" w:space="0" w:color="auto"/>
                <w:left w:val="none" w:sz="0" w:space="0" w:color="auto"/>
                <w:bottom w:val="none" w:sz="0" w:space="0" w:color="auto"/>
                <w:right w:val="none" w:sz="0" w:space="0" w:color="auto"/>
              </w:divBdr>
              <w:divsChild>
                <w:div w:id="119249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07824">
          <w:marLeft w:val="0"/>
          <w:marRight w:val="0"/>
          <w:marTop w:val="0"/>
          <w:marBottom w:val="0"/>
          <w:divBdr>
            <w:top w:val="none" w:sz="0" w:space="0" w:color="auto"/>
            <w:left w:val="none" w:sz="0" w:space="0" w:color="auto"/>
            <w:bottom w:val="none" w:sz="0" w:space="0" w:color="auto"/>
            <w:right w:val="none" w:sz="0" w:space="0" w:color="auto"/>
          </w:divBdr>
          <w:divsChild>
            <w:div w:id="650409095">
              <w:marLeft w:val="0"/>
              <w:marRight w:val="0"/>
              <w:marTop w:val="0"/>
              <w:marBottom w:val="0"/>
              <w:divBdr>
                <w:top w:val="none" w:sz="0" w:space="0" w:color="auto"/>
                <w:left w:val="none" w:sz="0" w:space="0" w:color="auto"/>
                <w:bottom w:val="none" w:sz="0" w:space="0" w:color="auto"/>
                <w:right w:val="none" w:sz="0" w:space="0" w:color="auto"/>
              </w:divBdr>
            </w:div>
            <w:div w:id="1842773938">
              <w:marLeft w:val="0"/>
              <w:marRight w:val="0"/>
              <w:marTop w:val="0"/>
              <w:marBottom w:val="0"/>
              <w:divBdr>
                <w:top w:val="none" w:sz="0" w:space="0" w:color="auto"/>
                <w:left w:val="none" w:sz="0" w:space="0" w:color="auto"/>
                <w:bottom w:val="none" w:sz="0" w:space="0" w:color="auto"/>
                <w:right w:val="none" w:sz="0" w:space="0" w:color="auto"/>
              </w:divBdr>
              <w:divsChild>
                <w:div w:id="28975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859700">
      <w:bodyDiv w:val="1"/>
      <w:marLeft w:val="0"/>
      <w:marRight w:val="0"/>
      <w:marTop w:val="0"/>
      <w:marBottom w:val="0"/>
      <w:divBdr>
        <w:top w:val="none" w:sz="0" w:space="0" w:color="auto"/>
        <w:left w:val="none" w:sz="0" w:space="0" w:color="auto"/>
        <w:bottom w:val="none" w:sz="0" w:space="0" w:color="auto"/>
        <w:right w:val="none" w:sz="0" w:space="0" w:color="auto"/>
      </w:divBdr>
      <w:divsChild>
        <w:div w:id="1195463204">
          <w:marLeft w:val="0"/>
          <w:marRight w:val="0"/>
          <w:marTop w:val="0"/>
          <w:marBottom w:val="0"/>
          <w:divBdr>
            <w:top w:val="none" w:sz="0" w:space="0" w:color="auto"/>
            <w:left w:val="none" w:sz="0" w:space="0" w:color="auto"/>
            <w:bottom w:val="none" w:sz="0" w:space="0" w:color="auto"/>
            <w:right w:val="none" w:sz="0" w:space="0" w:color="auto"/>
          </w:divBdr>
        </w:div>
      </w:divsChild>
    </w:div>
    <w:div w:id="1780683352">
      <w:bodyDiv w:val="1"/>
      <w:marLeft w:val="0"/>
      <w:marRight w:val="0"/>
      <w:marTop w:val="0"/>
      <w:marBottom w:val="0"/>
      <w:divBdr>
        <w:top w:val="none" w:sz="0" w:space="0" w:color="auto"/>
        <w:left w:val="none" w:sz="0" w:space="0" w:color="auto"/>
        <w:bottom w:val="none" w:sz="0" w:space="0" w:color="auto"/>
        <w:right w:val="none" w:sz="0" w:space="0" w:color="auto"/>
      </w:divBdr>
      <w:divsChild>
        <w:div w:id="220294374">
          <w:marLeft w:val="0"/>
          <w:marRight w:val="0"/>
          <w:marTop w:val="0"/>
          <w:marBottom w:val="0"/>
          <w:divBdr>
            <w:top w:val="none" w:sz="0" w:space="0" w:color="auto"/>
            <w:left w:val="none" w:sz="0" w:space="0" w:color="auto"/>
            <w:bottom w:val="none" w:sz="0" w:space="0" w:color="auto"/>
            <w:right w:val="none" w:sz="0" w:space="0" w:color="auto"/>
          </w:divBdr>
          <w:divsChild>
            <w:div w:id="26982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472</Words>
  <Characters>2977</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BA Marzahn-Hellersdorf</Company>
  <LinksUpToDate>false</LinksUpToDate>
  <CharactersWithSpaces>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Sybille Zellerhoff</dc:creator>
  <cp:keywords/>
  <dc:description/>
  <cp:lastModifiedBy>Sybille Zellerhoff</cp:lastModifiedBy>
  <cp:revision>3</cp:revision>
  <dcterms:created xsi:type="dcterms:W3CDTF">2022-02-25T12:52:00Z</dcterms:created>
  <dcterms:modified xsi:type="dcterms:W3CDTF">2022-02-25T12:52:00Z</dcterms:modified>
</cp:coreProperties>
</file>